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F7" w:rsidRPr="008168A0" w:rsidRDefault="009277F7" w:rsidP="00441984">
      <w:pPr>
        <w:widowControl w:val="0"/>
        <w:tabs>
          <w:tab w:val="left" w:pos="2880"/>
        </w:tabs>
        <w:autoSpaceDE w:val="0"/>
        <w:autoSpaceDN w:val="0"/>
        <w:adjustRightInd w:val="0"/>
        <w:spacing w:after="0" w:line="240" w:lineRule="auto"/>
        <w:jc w:val="center"/>
        <w:rPr>
          <w:rFonts w:ascii="Times New Roman" w:hAnsi="Times New Roman"/>
          <w:bCs/>
          <w:sz w:val="28"/>
          <w:szCs w:val="28"/>
        </w:rPr>
      </w:pPr>
      <w:r w:rsidRPr="00E13E3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5pt;height:49.5pt;visibility:visible" filled="t" fillcolor="black">
            <v:imagedata r:id="rId6" o:title=""/>
          </v:shape>
        </w:pict>
      </w:r>
    </w:p>
    <w:p w:rsidR="009277F7" w:rsidRPr="008168A0" w:rsidRDefault="009277F7" w:rsidP="0090691A">
      <w:pPr>
        <w:spacing w:after="0" w:line="240" w:lineRule="auto"/>
        <w:jc w:val="center"/>
        <w:rPr>
          <w:rFonts w:ascii="Times New Roman" w:hAnsi="Times New Roman"/>
          <w:sz w:val="28"/>
          <w:szCs w:val="28"/>
          <w:lang w:eastAsia="ru-RU"/>
        </w:rPr>
      </w:pPr>
      <w:r w:rsidRPr="008168A0">
        <w:rPr>
          <w:rFonts w:ascii="Times New Roman" w:hAnsi="Times New Roman"/>
          <w:sz w:val="28"/>
          <w:szCs w:val="28"/>
          <w:lang w:eastAsia="ru-RU"/>
        </w:rPr>
        <w:t>РОССИЙСКАЯ ФЕДЕРАЦИЯ</w:t>
      </w:r>
    </w:p>
    <w:p w:rsidR="009277F7" w:rsidRPr="008168A0" w:rsidRDefault="009277F7" w:rsidP="0090691A">
      <w:pPr>
        <w:spacing w:after="0" w:line="240" w:lineRule="auto"/>
        <w:jc w:val="center"/>
        <w:rPr>
          <w:rFonts w:ascii="Times New Roman" w:hAnsi="Times New Roman"/>
          <w:b/>
          <w:sz w:val="28"/>
          <w:szCs w:val="28"/>
          <w:lang w:eastAsia="ru-RU"/>
        </w:rPr>
      </w:pPr>
      <w:r w:rsidRPr="008168A0">
        <w:rPr>
          <w:rFonts w:ascii="Times New Roman" w:hAnsi="Times New Roman"/>
          <w:b/>
          <w:sz w:val="28"/>
          <w:szCs w:val="28"/>
          <w:lang w:eastAsia="ru-RU"/>
        </w:rPr>
        <w:t xml:space="preserve">ВЕРХНЕПАШИНСКИЙ СЕЛЬСКИЙ СОВЕТ ДЕПУТАТОВ </w:t>
      </w:r>
    </w:p>
    <w:p w:rsidR="009277F7" w:rsidRPr="008168A0" w:rsidRDefault="009277F7" w:rsidP="0090691A">
      <w:pPr>
        <w:spacing w:after="0" w:line="240" w:lineRule="auto"/>
        <w:jc w:val="center"/>
        <w:rPr>
          <w:rFonts w:ascii="Times New Roman" w:hAnsi="Times New Roman"/>
          <w:sz w:val="28"/>
          <w:szCs w:val="28"/>
          <w:lang w:eastAsia="ru-RU"/>
        </w:rPr>
      </w:pPr>
      <w:r w:rsidRPr="008168A0">
        <w:rPr>
          <w:rFonts w:ascii="Times New Roman" w:hAnsi="Times New Roman"/>
          <w:sz w:val="28"/>
          <w:szCs w:val="28"/>
          <w:lang w:eastAsia="ru-RU"/>
        </w:rPr>
        <w:t>ЕНИСЕЙСКОГО РАЙОНА</w:t>
      </w:r>
    </w:p>
    <w:p w:rsidR="009277F7" w:rsidRPr="008168A0" w:rsidRDefault="009277F7" w:rsidP="0090691A">
      <w:pPr>
        <w:pBdr>
          <w:bottom w:val="single" w:sz="12" w:space="1" w:color="auto"/>
        </w:pBdr>
        <w:spacing w:after="0" w:line="240" w:lineRule="auto"/>
        <w:jc w:val="center"/>
        <w:rPr>
          <w:rFonts w:ascii="Times New Roman" w:hAnsi="Times New Roman"/>
          <w:sz w:val="28"/>
          <w:szCs w:val="28"/>
          <w:lang w:eastAsia="ru-RU"/>
        </w:rPr>
      </w:pPr>
      <w:r w:rsidRPr="008168A0">
        <w:rPr>
          <w:rFonts w:ascii="Times New Roman" w:hAnsi="Times New Roman"/>
          <w:sz w:val="28"/>
          <w:szCs w:val="28"/>
          <w:lang w:eastAsia="ru-RU"/>
        </w:rPr>
        <w:t>КРАСНОЯРСКОГО КРАЯ</w:t>
      </w:r>
    </w:p>
    <w:p w:rsidR="009277F7" w:rsidRPr="008168A0" w:rsidRDefault="009277F7" w:rsidP="0090691A">
      <w:pPr>
        <w:spacing w:after="0" w:line="240" w:lineRule="auto"/>
        <w:jc w:val="center"/>
        <w:rPr>
          <w:rFonts w:ascii="Times New Roman" w:hAnsi="Times New Roman"/>
          <w:b/>
          <w:sz w:val="28"/>
          <w:szCs w:val="28"/>
          <w:lang w:eastAsia="ru-RU"/>
        </w:rPr>
      </w:pPr>
      <w:r w:rsidRPr="008168A0">
        <w:rPr>
          <w:rFonts w:ascii="Times New Roman" w:hAnsi="Times New Roman"/>
          <w:b/>
          <w:sz w:val="28"/>
          <w:szCs w:val="28"/>
          <w:lang w:eastAsia="ru-RU"/>
        </w:rPr>
        <w:t>РЕШЕНИЕ</w:t>
      </w:r>
    </w:p>
    <w:p w:rsidR="009277F7" w:rsidRPr="008168A0" w:rsidRDefault="009277F7" w:rsidP="0090691A">
      <w:pPr>
        <w:spacing w:after="0" w:line="240" w:lineRule="auto"/>
        <w:jc w:val="center"/>
        <w:rPr>
          <w:rFonts w:ascii="Times New Roman" w:hAnsi="Times New Roman"/>
          <w:sz w:val="28"/>
          <w:szCs w:val="28"/>
          <w:lang w:eastAsia="ru-RU"/>
        </w:rPr>
      </w:pPr>
    </w:p>
    <w:p w:rsidR="009277F7" w:rsidRPr="008168A0" w:rsidRDefault="009277F7" w:rsidP="0090691A">
      <w:pPr>
        <w:spacing w:after="0" w:line="240" w:lineRule="auto"/>
        <w:rPr>
          <w:rFonts w:ascii="Times New Roman" w:hAnsi="Times New Roman"/>
          <w:sz w:val="28"/>
          <w:szCs w:val="28"/>
          <w:lang w:eastAsia="ru-RU"/>
        </w:rPr>
      </w:pPr>
      <w:r w:rsidRPr="008168A0">
        <w:rPr>
          <w:rFonts w:ascii="Times New Roman" w:hAnsi="Times New Roman"/>
          <w:sz w:val="28"/>
          <w:szCs w:val="28"/>
          <w:lang w:eastAsia="ru-RU"/>
        </w:rPr>
        <w:t xml:space="preserve">  05.06.2013г                         </w:t>
      </w:r>
      <w:r>
        <w:rPr>
          <w:rFonts w:ascii="Times New Roman" w:hAnsi="Times New Roman"/>
          <w:sz w:val="28"/>
          <w:szCs w:val="28"/>
          <w:lang w:eastAsia="ru-RU"/>
        </w:rPr>
        <w:t xml:space="preserve">         </w:t>
      </w:r>
      <w:r w:rsidRPr="008168A0">
        <w:rPr>
          <w:rFonts w:ascii="Times New Roman" w:hAnsi="Times New Roman"/>
          <w:sz w:val="28"/>
          <w:szCs w:val="28"/>
          <w:lang w:eastAsia="ru-RU"/>
        </w:rPr>
        <w:t xml:space="preserve">  с. Верхнепашино                    № 4-14р</w:t>
      </w:r>
    </w:p>
    <w:p w:rsidR="009277F7" w:rsidRPr="008168A0" w:rsidRDefault="009277F7" w:rsidP="0090691A">
      <w:pPr>
        <w:widowControl w:val="0"/>
        <w:autoSpaceDE w:val="0"/>
        <w:autoSpaceDN w:val="0"/>
        <w:adjustRightInd w:val="0"/>
        <w:spacing w:after="0" w:line="240" w:lineRule="auto"/>
        <w:rPr>
          <w:rFonts w:ascii="Times New Roman" w:hAnsi="Times New Roman"/>
          <w:bCs/>
          <w:sz w:val="28"/>
          <w:szCs w:val="28"/>
        </w:rPr>
      </w:pPr>
    </w:p>
    <w:p w:rsidR="009277F7" w:rsidRPr="008168A0" w:rsidRDefault="009277F7" w:rsidP="00206790">
      <w:pPr>
        <w:widowControl w:val="0"/>
        <w:autoSpaceDE w:val="0"/>
        <w:autoSpaceDN w:val="0"/>
        <w:adjustRightInd w:val="0"/>
        <w:spacing w:after="0" w:line="240" w:lineRule="auto"/>
        <w:rPr>
          <w:rFonts w:ascii="Times New Roman" w:hAnsi="Times New Roman"/>
          <w:b/>
          <w:bCs/>
          <w:sz w:val="28"/>
          <w:szCs w:val="28"/>
        </w:rPr>
      </w:pPr>
      <w:r w:rsidRPr="008168A0">
        <w:rPr>
          <w:rFonts w:ascii="Times New Roman" w:hAnsi="Times New Roman"/>
          <w:b/>
          <w:bCs/>
          <w:sz w:val="28"/>
          <w:szCs w:val="28"/>
        </w:rPr>
        <w:t>Об утверждении схемы размещения нестационарных торговых объектов на территории Верхнепашинского сельсовета Енисейского района Красноярского края</w:t>
      </w:r>
    </w:p>
    <w:p w:rsidR="009277F7" w:rsidRPr="008168A0" w:rsidRDefault="009277F7" w:rsidP="00206790">
      <w:pPr>
        <w:widowControl w:val="0"/>
        <w:autoSpaceDE w:val="0"/>
        <w:autoSpaceDN w:val="0"/>
        <w:adjustRightInd w:val="0"/>
        <w:spacing w:after="0" w:line="240" w:lineRule="auto"/>
        <w:rPr>
          <w:rFonts w:ascii="Times New Roman" w:hAnsi="Times New Roman"/>
          <w:b/>
          <w:bCs/>
          <w:sz w:val="28"/>
          <w:szCs w:val="28"/>
        </w:rPr>
      </w:pPr>
    </w:p>
    <w:p w:rsidR="009277F7" w:rsidRPr="008168A0" w:rsidRDefault="009277F7" w:rsidP="00206790">
      <w:pPr>
        <w:widowControl w:val="0"/>
        <w:autoSpaceDE w:val="0"/>
        <w:autoSpaceDN w:val="0"/>
        <w:adjustRightInd w:val="0"/>
        <w:spacing w:after="0" w:line="240" w:lineRule="auto"/>
        <w:rPr>
          <w:rFonts w:ascii="Times New Roman" w:hAnsi="Times New Roman"/>
          <w:bCs/>
          <w:sz w:val="28"/>
          <w:szCs w:val="28"/>
        </w:rPr>
      </w:pPr>
    </w:p>
    <w:p w:rsidR="009277F7" w:rsidRPr="008168A0" w:rsidRDefault="009277F7" w:rsidP="008A7C47">
      <w:pPr>
        <w:widowControl w:val="0"/>
        <w:autoSpaceDE w:val="0"/>
        <w:autoSpaceDN w:val="0"/>
        <w:adjustRightInd w:val="0"/>
        <w:spacing w:after="0" w:line="240" w:lineRule="auto"/>
        <w:ind w:firstLine="708"/>
        <w:jc w:val="both"/>
        <w:rPr>
          <w:rFonts w:ascii="Times New Roman" w:hAnsi="Times New Roman"/>
          <w:bCs/>
          <w:sz w:val="28"/>
          <w:szCs w:val="28"/>
        </w:rPr>
      </w:pPr>
      <w:r w:rsidRPr="008168A0">
        <w:rPr>
          <w:rFonts w:ascii="Times New Roman" w:hAnsi="Times New Roman"/>
          <w:bCs/>
          <w:sz w:val="28"/>
          <w:szCs w:val="28"/>
        </w:rPr>
        <w:t xml:space="preserve">В соответствии со статьей 10 Федерального закона от 28.12.2009    № 381-ФЗ «Об основах государственного регулирования торговой деятельности в Российской Федерации», статьей 4  Закона Красноярского края от 30.06.2011 № 12-6090 «Об отдельных вопросах государственного регулирования торговой деятельности на территории Красноярского края», постановлением Правительства Красноярского края от 14.03.2011 №118-п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статьей 30 Устава Верхнепашинского сельсовета Енисейского района Красноярского края Верхнепашинский сельский Совет депутатов Енисейского района Красноярского края РЕШИЛ: </w:t>
      </w:r>
    </w:p>
    <w:p w:rsidR="009277F7" w:rsidRPr="008168A0" w:rsidRDefault="009277F7" w:rsidP="008A7C47">
      <w:pPr>
        <w:widowControl w:val="0"/>
        <w:autoSpaceDE w:val="0"/>
        <w:autoSpaceDN w:val="0"/>
        <w:adjustRightInd w:val="0"/>
        <w:spacing w:after="0" w:line="240" w:lineRule="auto"/>
        <w:ind w:firstLine="708"/>
        <w:jc w:val="both"/>
        <w:rPr>
          <w:rFonts w:ascii="Times New Roman" w:hAnsi="Times New Roman"/>
          <w:bCs/>
          <w:sz w:val="28"/>
          <w:szCs w:val="28"/>
        </w:rPr>
      </w:pPr>
    </w:p>
    <w:p w:rsidR="009277F7" w:rsidRPr="008168A0" w:rsidRDefault="009277F7" w:rsidP="008A7C47">
      <w:pPr>
        <w:widowControl w:val="0"/>
        <w:autoSpaceDE w:val="0"/>
        <w:autoSpaceDN w:val="0"/>
        <w:adjustRightInd w:val="0"/>
        <w:spacing w:after="0" w:line="240" w:lineRule="auto"/>
        <w:jc w:val="both"/>
        <w:rPr>
          <w:rFonts w:ascii="Times New Roman" w:hAnsi="Times New Roman"/>
          <w:bCs/>
          <w:sz w:val="28"/>
          <w:szCs w:val="28"/>
        </w:rPr>
      </w:pPr>
      <w:r w:rsidRPr="008168A0">
        <w:rPr>
          <w:rFonts w:ascii="Times New Roman" w:hAnsi="Times New Roman"/>
          <w:bCs/>
          <w:sz w:val="28"/>
          <w:szCs w:val="28"/>
        </w:rPr>
        <w:t xml:space="preserve">1. Утвердить </w:t>
      </w:r>
      <w:hyperlink r:id="rId7" w:history="1">
        <w:r w:rsidRPr="008168A0">
          <w:rPr>
            <w:rStyle w:val="Hyperlink"/>
            <w:rFonts w:ascii="Times New Roman" w:hAnsi="Times New Roman"/>
            <w:bCs/>
            <w:color w:val="auto"/>
            <w:sz w:val="28"/>
            <w:szCs w:val="28"/>
            <w:u w:val="none"/>
          </w:rPr>
          <w:t>схему</w:t>
        </w:r>
      </w:hyperlink>
      <w:r w:rsidRPr="008168A0">
        <w:rPr>
          <w:rFonts w:ascii="Times New Roman" w:hAnsi="Times New Roman"/>
          <w:bCs/>
          <w:sz w:val="28"/>
          <w:szCs w:val="28"/>
        </w:rPr>
        <w:t xml:space="preserve"> размещения нестационарных торговых объектов на территории Верхнепашинского сельсовета Енисейского района Красноярского края согласно приложению.</w:t>
      </w:r>
    </w:p>
    <w:p w:rsidR="009277F7" w:rsidRPr="008168A0" w:rsidRDefault="009277F7" w:rsidP="008A7C47">
      <w:pPr>
        <w:widowControl w:val="0"/>
        <w:autoSpaceDE w:val="0"/>
        <w:autoSpaceDN w:val="0"/>
        <w:adjustRightInd w:val="0"/>
        <w:spacing w:after="0" w:line="240" w:lineRule="auto"/>
        <w:jc w:val="both"/>
        <w:rPr>
          <w:rFonts w:ascii="Times New Roman" w:hAnsi="Times New Roman"/>
          <w:bCs/>
          <w:sz w:val="28"/>
          <w:szCs w:val="28"/>
          <w:lang w:eastAsia="ru-RU"/>
        </w:rPr>
      </w:pPr>
      <w:r w:rsidRPr="008168A0">
        <w:rPr>
          <w:rFonts w:ascii="Times New Roman" w:hAnsi="Times New Roman"/>
          <w:bCs/>
          <w:sz w:val="28"/>
          <w:szCs w:val="28"/>
          <w:lang w:eastAsia="ru-RU"/>
        </w:rPr>
        <w:t>2. Главе Верхнепашинского сельсовета Енисейского района Красноярского края в течение 10 дней со дня принятия настоящего решения направить копию в министерство информатизации и связи и обеспечить опубликование решения в официальном печатном издании «Сельский вестник» и размещения его на официальном сайте Енисейского района, а также на едином краевом портале «Красноярский край».</w:t>
      </w:r>
    </w:p>
    <w:p w:rsidR="009277F7" w:rsidRPr="008168A0" w:rsidRDefault="009277F7" w:rsidP="008A7C47">
      <w:pPr>
        <w:widowControl w:val="0"/>
        <w:autoSpaceDE w:val="0"/>
        <w:autoSpaceDN w:val="0"/>
        <w:adjustRightInd w:val="0"/>
        <w:spacing w:after="0" w:line="240" w:lineRule="auto"/>
        <w:jc w:val="both"/>
        <w:rPr>
          <w:rFonts w:ascii="Times New Roman" w:hAnsi="Times New Roman"/>
          <w:bCs/>
          <w:sz w:val="28"/>
          <w:szCs w:val="28"/>
          <w:lang w:eastAsia="ru-RU"/>
        </w:rPr>
      </w:pPr>
      <w:r w:rsidRPr="008168A0">
        <w:rPr>
          <w:rFonts w:ascii="Times New Roman" w:hAnsi="Times New Roman"/>
          <w:bCs/>
          <w:sz w:val="28"/>
          <w:szCs w:val="28"/>
          <w:lang w:eastAsia="ru-RU"/>
        </w:rPr>
        <w:t xml:space="preserve">3. Контроль за исполнением настоящего Решения возложить на председателя Верхнепашинского сельского Совета депутатов Енисейского района Красноярского края  Зобнина В.П. </w:t>
      </w:r>
    </w:p>
    <w:p w:rsidR="009277F7" w:rsidRPr="008168A0" w:rsidRDefault="009277F7" w:rsidP="008A7C47">
      <w:pPr>
        <w:widowControl w:val="0"/>
        <w:autoSpaceDE w:val="0"/>
        <w:autoSpaceDN w:val="0"/>
        <w:adjustRightInd w:val="0"/>
        <w:spacing w:after="0" w:line="240" w:lineRule="auto"/>
        <w:jc w:val="both"/>
        <w:rPr>
          <w:rFonts w:ascii="Times New Roman" w:hAnsi="Times New Roman"/>
          <w:bCs/>
          <w:sz w:val="28"/>
          <w:szCs w:val="28"/>
          <w:lang w:eastAsia="ru-RU"/>
        </w:rPr>
      </w:pPr>
      <w:r w:rsidRPr="008168A0">
        <w:rPr>
          <w:rFonts w:ascii="Times New Roman" w:hAnsi="Times New Roman"/>
          <w:bCs/>
          <w:sz w:val="28"/>
          <w:szCs w:val="28"/>
          <w:lang w:eastAsia="ru-RU"/>
        </w:rPr>
        <w:t>4. Решение вступает в силу в день, следующий за днем его официального опубликования в информационном издании  Верхнепашинского сельсовета Енисейского района Красноярского края «Сельский вестник».</w:t>
      </w:r>
    </w:p>
    <w:p w:rsidR="009277F7" w:rsidRPr="008168A0" w:rsidRDefault="009277F7" w:rsidP="00441984">
      <w:pPr>
        <w:widowControl w:val="0"/>
        <w:tabs>
          <w:tab w:val="left" w:pos="8460"/>
        </w:tabs>
        <w:autoSpaceDE w:val="0"/>
        <w:autoSpaceDN w:val="0"/>
        <w:adjustRightInd w:val="0"/>
        <w:spacing w:after="0" w:line="240" w:lineRule="auto"/>
        <w:jc w:val="both"/>
        <w:rPr>
          <w:rFonts w:ascii="Times New Roman" w:hAnsi="Times New Roman"/>
          <w:bCs/>
          <w:sz w:val="28"/>
          <w:szCs w:val="28"/>
          <w:lang w:eastAsia="ru-RU"/>
        </w:rPr>
      </w:pPr>
    </w:p>
    <w:p w:rsidR="009277F7" w:rsidRPr="008168A0" w:rsidRDefault="009277F7" w:rsidP="00206790">
      <w:pPr>
        <w:widowControl w:val="0"/>
        <w:autoSpaceDE w:val="0"/>
        <w:autoSpaceDN w:val="0"/>
        <w:adjustRightInd w:val="0"/>
        <w:spacing w:after="0" w:line="240" w:lineRule="auto"/>
        <w:rPr>
          <w:rFonts w:ascii="Times New Roman" w:hAnsi="Times New Roman"/>
          <w:bCs/>
          <w:i/>
          <w:sz w:val="28"/>
          <w:szCs w:val="28"/>
        </w:rPr>
      </w:pPr>
    </w:p>
    <w:p w:rsidR="009277F7" w:rsidRPr="008168A0" w:rsidRDefault="009277F7" w:rsidP="00206790">
      <w:pPr>
        <w:widowControl w:val="0"/>
        <w:autoSpaceDE w:val="0"/>
        <w:autoSpaceDN w:val="0"/>
        <w:adjustRightInd w:val="0"/>
        <w:spacing w:after="0" w:line="240" w:lineRule="auto"/>
        <w:rPr>
          <w:rFonts w:ascii="Times New Roman" w:hAnsi="Times New Roman"/>
          <w:bCs/>
          <w:sz w:val="28"/>
          <w:szCs w:val="28"/>
        </w:rPr>
      </w:pPr>
      <w:r w:rsidRPr="008168A0">
        <w:rPr>
          <w:rFonts w:ascii="Times New Roman" w:hAnsi="Times New Roman"/>
          <w:bCs/>
          <w:sz w:val="28"/>
          <w:szCs w:val="28"/>
        </w:rPr>
        <w:t xml:space="preserve">Председатель Совета депутатов                 </w:t>
      </w:r>
      <w:r>
        <w:rPr>
          <w:rFonts w:ascii="Times New Roman" w:hAnsi="Times New Roman"/>
          <w:bCs/>
          <w:sz w:val="28"/>
          <w:szCs w:val="28"/>
        </w:rPr>
        <w:t xml:space="preserve">                 </w:t>
      </w:r>
      <w:r w:rsidRPr="008168A0">
        <w:rPr>
          <w:rFonts w:ascii="Times New Roman" w:hAnsi="Times New Roman"/>
          <w:bCs/>
          <w:sz w:val="28"/>
          <w:szCs w:val="28"/>
        </w:rPr>
        <w:t>В.П. Зобнин</w:t>
      </w:r>
    </w:p>
    <w:p w:rsidR="009277F7" w:rsidRPr="008168A0" w:rsidRDefault="009277F7" w:rsidP="00206790">
      <w:pPr>
        <w:widowControl w:val="0"/>
        <w:autoSpaceDE w:val="0"/>
        <w:autoSpaceDN w:val="0"/>
        <w:adjustRightInd w:val="0"/>
        <w:spacing w:after="0" w:line="240" w:lineRule="auto"/>
        <w:rPr>
          <w:rFonts w:ascii="Times New Roman" w:hAnsi="Times New Roman"/>
          <w:bCs/>
          <w:sz w:val="28"/>
          <w:szCs w:val="28"/>
        </w:rPr>
      </w:pPr>
    </w:p>
    <w:p w:rsidR="009277F7" w:rsidRPr="008168A0" w:rsidRDefault="009277F7" w:rsidP="00206790">
      <w:pPr>
        <w:widowControl w:val="0"/>
        <w:autoSpaceDE w:val="0"/>
        <w:autoSpaceDN w:val="0"/>
        <w:adjustRightInd w:val="0"/>
        <w:spacing w:after="0" w:line="240" w:lineRule="auto"/>
        <w:rPr>
          <w:rFonts w:ascii="Times New Roman" w:hAnsi="Times New Roman"/>
          <w:bCs/>
          <w:sz w:val="28"/>
          <w:szCs w:val="28"/>
        </w:rPr>
      </w:pPr>
    </w:p>
    <w:p w:rsidR="009277F7" w:rsidRPr="008168A0" w:rsidRDefault="009277F7" w:rsidP="008168A0">
      <w:pPr>
        <w:widowControl w:val="0"/>
        <w:tabs>
          <w:tab w:val="left" w:pos="8640"/>
        </w:tabs>
        <w:autoSpaceDE w:val="0"/>
        <w:autoSpaceDN w:val="0"/>
        <w:adjustRightInd w:val="0"/>
        <w:spacing w:after="0" w:line="240" w:lineRule="auto"/>
        <w:ind w:right="4662"/>
        <w:rPr>
          <w:rFonts w:ascii="Times New Roman" w:hAnsi="Times New Roman"/>
          <w:iCs/>
          <w:sz w:val="28"/>
          <w:szCs w:val="28"/>
          <w:lang w:eastAsia="ru-RU"/>
        </w:rPr>
        <w:sectPr w:rsidR="009277F7" w:rsidRPr="008168A0" w:rsidSect="00441984">
          <w:pgSz w:w="11905" w:h="16838" w:code="9"/>
          <w:pgMar w:top="1134" w:right="1645" w:bottom="1134" w:left="1134" w:header="720" w:footer="720" w:gutter="0"/>
          <w:cols w:space="708"/>
          <w:titlePg/>
          <w:docGrid w:linePitch="254"/>
        </w:sectPr>
      </w:pPr>
      <w:r>
        <w:rPr>
          <w:rFonts w:ascii="Times New Roman" w:hAnsi="Times New Roman"/>
          <w:bCs/>
          <w:sz w:val="28"/>
          <w:szCs w:val="28"/>
        </w:rPr>
        <w:t xml:space="preserve">Глава сельсовета      О.А.Евдокимова </w:t>
      </w:r>
      <w:bookmarkStart w:id="0" w:name="_GoBack"/>
      <w:bookmarkEnd w:id="0"/>
    </w:p>
    <w:p w:rsidR="009277F7" w:rsidRPr="00580B97" w:rsidRDefault="009277F7" w:rsidP="004461CE">
      <w:pPr>
        <w:spacing w:after="0" w:line="240" w:lineRule="auto"/>
        <w:ind w:left="11340"/>
        <w:rPr>
          <w:rFonts w:ascii="Times New Roman" w:hAnsi="Times New Roman"/>
        </w:rPr>
      </w:pPr>
      <w:r>
        <w:rPr>
          <w:rFonts w:ascii="Times New Roman" w:hAnsi="Times New Roman"/>
        </w:rPr>
        <w:t xml:space="preserve">Приложение к решению </w:t>
      </w:r>
      <w:r w:rsidRPr="00580B97">
        <w:rPr>
          <w:rFonts w:ascii="Times New Roman" w:hAnsi="Times New Roman"/>
        </w:rPr>
        <w:t>Верхнепашинского сельского Совета депутатов</w:t>
      </w:r>
    </w:p>
    <w:p w:rsidR="009277F7" w:rsidRPr="00580B97" w:rsidRDefault="009277F7" w:rsidP="004461CE">
      <w:pPr>
        <w:spacing w:after="0" w:line="240" w:lineRule="auto"/>
        <w:ind w:left="11340"/>
        <w:rPr>
          <w:rFonts w:ascii="Times New Roman" w:hAnsi="Times New Roman"/>
        </w:rPr>
      </w:pPr>
      <w:r>
        <w:rPr>
          <w:rFonts w:ascii="Times New Roman" w:hAnsi="Times New Roman"/>
        </w:rPr>
        <w:t>от 05.06.2013 г. № 4-14р</w:t>
      </w:r>
      <w:r w:rsidRPr="00580B97">
        <w:rPr>
          <w:rFonts w:ascii="Times New Roman" w:hAnsi="Times New Roman"/>
        </w:rPr>
        <w:t xml:space="preserve">                                                                                                                                                                                    </w:t>
      </w:r>
    </w:p>
    <w:p w:rsidR="009277F7" w:rsidRDefault="009277F7" w:rsidP="00580B97">
      <w:pPr>
        <w:jc w:val="center"/>
        <w:rPr>
          <w:rFonts w:ascii="Times New Roman" w:hAnsi="Times New Roman"/>
        </w:rPr>
      </w:pPr>
    </w:p>
    <w:p w:rsidR="009277F7" w:rsidRPr="00580B97" w:rsidRDefault="009277F7" w:rsidP="004461CE">
      <w:pPr>
        <w:spacing w:after="0" w:line="240" w:lineRule="auto"/>
        <w:jc w:val="center"/>
        <w:rPr>
          <w:rFonts w:ascii="Times New Roman" w:hAnsi="Times New Roman"/>
        </w:rPr>
      </w:pPr>
      <w:r w:rsidRPr="00580B97">
        <w:rPr>
          <w:rFonts w:ascii="Times New Roman" w:hAnsi="Times New Roman"/>
        </w:rPr>
        <w:t xml:space="preserve">СХЕМА РАЗМЕЩЕНИЯ НЕСТАЦИОНАРНЫХ ТОРГОВЫХ ОБЪЕКТОВ </w:t>
      </w:r>
    </w:p>
    <w:p w:rsidR="009277F7" w:rsidRDefault="009277F7" w:rsidP="004461CE">
      <w:pPr>
        <w:spacing w:after="0" w:line="240" w:lineRule="auto"/>
        <w:jc w:val="center"/>
        <w:rPr>
          <w:rFonts w:ascii="Times New Roman" w:hAnsi="Times New Roman"/>
        </w:rPr>
      </w:pPr>
      <w:r w:rsidRPr="00580B97">
        <w:rPr>
          <w:rFonts w:ascii="Times New Roman" w:hAnsi="Times New Roman"/>
        </w:rPr>
        <w:t>на территории Верхнепашинского сельсовета Енисейского района Красноярского края</w:t>
      </w:r>
    </w:p>
    <w:p w:rsidR="009277F7" w:rsidRPr="00580B97" w:rsidRDefault="009277F7" w:rsidP="004461CE">
      <w:pPr>
        <w:spacing w:after="0" w:line="240" w:lineRule="auto"/>
        <w:jc w:val="center"/>
        <w:rPr>
          <w:rFonts w:ascii="Times New Roman" w:hAnsi="Times New Roman"/>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
        <w:gridCol w:w="1620"/>
        <w:gridCol w:w="2160"/>
        <w:gridCol w:w="1440"/>
        <w:gridCol w:w="1056"/>
        <w:gridCol w:w="2160"/>
        <w:gridCol w:w="2700"/>
        <w:gridCol w:w="1800"/>
        <w:gridCol w:w="2058"/>
      </w:tblGrid>
      <w:tr w:rsidR="009277F7" w:rsidRPr="00441984" w:rsidTr="00441984">
        <w:trPr>
          <w:trHeight w:val="1748"/>
        </w:trPr>
        <w:tc>
          <w:tcPr>
            <w:tcW w:w="288" w:type="dxa"/>
          </w:tcPr>
          <w:p w:rsidR="009277F7" w:rsidRPr="00441984" w:rsidRDefault="009277F7" w:rsidP="004461CE">
            <w:pPr>
              <w:autoSpaceDE w:val="0"/>
              <w:autoSpaceDN w:val="0"/>
              <w:adjustRightInd w:val="0"/>
              <w:jc w:val="center"/>
              <w:rPr>
                <w:rFonts w:ascii="Times New Roman" w:hAnsi="Times New Roman"/>
                <w:sz w:val="20"/>
                <w:szCs w:val="20"/>
              </w:rPr>
            </w:pPr>
            <w:r w:rsidRPr="00441984">
              <w:rPr>
                <w:rFonts w:ascii="Times New Roman" w:hAnsi="Times New Roman"/>
                <w:sz w:val="20"/>
                <w:szCs w:val="20"/>
              </w:rPr>
              <w:t>N</w:t>
            </w:r>
          </w:p>
          <w:p w:rsidR="009277F7" w:rsidRPr="00441984" w:rsidRDefault="009277F7" w:rsidP="004461CE">
            <w:pPr>
              <w:autoSpaceDE w:val="0"/>
              <w:autoSpaceDN w:val="0"/>
              <w:adjustRightInd w:val="0"/>
              <w:jc w:val="center"/>
              <w:rPr>
                <w:rFonts w:ascii="Times New Roman" w:hAnsi="Times New Roman"/>
                <w:sz w:val="20"/>
                <w:szCs w:val="20"/>
              </w:rPr>
            </w:pPr>
          </w:p>
          <w:p w:rsidR="009277F7" w:rsidRPr="00441984" w:rsidRDefault="009277F7" w:rsidP="004461CE">
            <w:pPr>
              <w:jc w:val="center"/>
              <w:rPr>
                <w:rFonts w:ascii="Times New Roman" w:hAnsi="Times New Roman"/>
                <w:sz w:val="20"/>
                <w:szCs w:val="20"/>
              </w:rPr>
            </w:pPr>
          </w:p>
        </w:tc>
        <w:tc>
          <w:tcPr>
            <w:tcW w:w="1620" w:type="dxa"/>
          </w:tcPr>
          <w:p w:rsidR="009277F7" w:rsidRPr="00441984" w:rsidRDefault="009277F7" w:rsidP="004461CE">
            <w:pPr>
              <w:autoSpaceDE w:val="0"/>
              <w:autoSpaceDN w:val="0"/>
              <w:adjustRightInd w:val="0"/>
              <w:jc w:val="center"/>
              <w:outlineLvl w:val="0"/>
              <w:rPr>
                <w:rFonts w:ascii="Times New Roman" w:hAnsi="Times New Roman"/>
                <w:sz w:val="20"/>
                <w:szCs w:val="20"/>
              </w:rPr>
            </w:pPr>
            <w:r w:rsidRPr="00441984">
              <w:rPr>
                <w:rFonts w:ascii="Times New Roman" w:hAnsi="Times New Roman"/>
                <w:sz w:val="20"/>
                <w:szCs w:val="20"/>
              </w:rPr>
              <w:t>Тип нестационарных торговых  объектов (павильон, киоск, автомагазин, тонар, торговая площадка, другое)</w:t>
            </w:r>
          </w:p>
        </w:tc>
        <w:tc>
          <w:tcPr>
            <w:tcW w:w="2160" w:type="dxa"/>
          </w:tcPr>
          <w:p w:rsidR="009277F7" w:rsidRPr="00441984" w:rsidRDefault="009277F7" w:rsidP="004461CE">
            <w:pPr>
              <w:jc w:val="center"/>
              <w:rPr>
                <w:rFonts w:ascii="Times New Roman" w:hAnsi="Times New Roman"/>
                <w:sz w:val="20"/>
                <w:szCs w:val="20"/>
              </w:rPr>
            </w:pPr>
            <w:r w:rsidRPr="00441984">
              <w:rPr>
                <w:rFonts w:ascii="Times New Roman" w:hAnsi="Times New Roman"/>
                <w:sz w:val="20"/>
                <w:szCs w:val="20"/>
              </w:rPr>
              <w:t>Адресный ориентир расположения нестационарных торговых объектов</w:t>
            </w:r>
          </w:p>
        </w:tc>
        <w:tc>
          <w:tcPr>
            <w:tcW w:w="1440" w:type="dxa"/>
          </w:tcPr>
          <w:p w:rsidR="009277F7" w:rsidRPr="00441984" w:rsidRDefault="009277F7" w:rsidP="004461CE">
            <w:pPr>
              <w:jc w:val="center"/>
              <w:rPr>
                <w:rFonts w:ascii="Times New Roman" w:hAnsi="Times New Roman"/>
                <w:sz w:val="20"/>
                <w:szCs w:val="20"/>
              </w:rPr>
            </w:pPr>
            <w:r w:rsidRPr="00441984">
              <w:rPr>
                <w:rFonts w:ascii="Times New Roman" w:hAnsi="Times New Roman"/>
                <w:sz w:val="20"/>
                <w:szCs w:val="20"/>
              </w:rPr>
              <w:t>Количество нестационарных торговых объектов по каждому адресному ориентиру, шт.</w:t>
            </w:r>
          </w:p>
        </w:tc>
        <w:tc>
          <w:tcPr>
            <w:tcW w:w="1056" w:type="dxa"/>
          </w:tcPr>
          <w:p w:rsidR="009277F7" w:rsidRPr="00441984" w:rsidRDefault="009277F7" w:rsidP="004461CE">
            <w:pPr>
              <w:jc w:val="center"/>
              <w:rPr>
                <w:rFonts w:ascii="Times New Roman" w:hAnsi="Times New Roman"/>
                <w:sz w:val="20"/>
                <w:szCs w:val="20"/>
              </w:rPr>
            </w:pPr>
            <w:r w:rsidRPr="00441984">
              <w:rPr>
                <w:rFonts w:ascii="Times New Roman" w:hAnsi="Times New Roman"/>
                <w:sz w:val="20"/>
                <w:szCs w:val="20"/>
              </w:rPr>
              <w:t>Площадь земельных участков, кв.м.</w:t>
            </w:r>
          </w:p>
        </w:tc>
        <w:tc>
          <w:tcPr>
            <w:tcW w:w="2160" w:type="dxa"/>
          </w:tcPr>
          <w:p w:rsidR="009277F7" w:rsidRPr="00441984" w:rsidRDefault="009277F7" w:rsidP="00EA1455">
            <w:pPr>
              <w:autoSpaceDE w:val="0"/>
              <w:autoSpaceDN w:val="0"/>
              <w:adjustRightInd w:val="0"/>
              <w:jc w:val="center"/>
              <w:outlineLvl w:val="0"/>
              <w:rPr>
                <w:rFonts w:ascii="Times New Roman" w:hAnsi="Times New Roman"/>
                <w:sz w:val="20"/>
                <w:szCs w:val="20"/>
              </w:rPr>
            </w:pPr>
            <w:r w:rsidRPr="00441984">
              <w:rPr>
                <w:rFonts w:ascii="Times New Roman" w:hAnsi="Times New Roman"/>
                <w:sz w:val="20"/>
                <w:szCs w:val="20"/>
              </w:rPr>
              <w:t>Площадь земельного участка, здания, строения, сооружения или их части, занимаемые нестационарным торговым объектом</w:t>
            </w:r>
          </w:p>
        </w:tc>
        <w:tc>
          <w:tcPr>
            <w:tcW w:w="2700" w:type="dxa"/>
          </w:tcPr>
          <w:p w:rsidR="009277F7" w:rsidRPr="00441984" w:rsidRDefault="009277F7" w:rsidP="004461CE">
            <w:pPr>
              <w:jc w:val="center"/>
              <w:rPr>
                <w:rFonts w:ascii="Times New Roman" w:hAnsi="Times New Roman"/>
                <w:sz w:val="20"/>
                <w:szCs w:val="20"/>
              </w:rPr>
            </w:pPr>
            <w:r w:rsidRPr="00441984">
              <w:rPr>
                <w:rFonts w:ascii="Times New Roman" w:hAnsi="Times New Roman"/>
                <w:sz w:val="20"/>
                <w:szCs w:val="20"/>
              </w:rPr>
              <w:t>Вид реализуемой нестационарным торговым объектом продукции</w:t>
            </w:r>
          </w:p>
        </w:tc>
        <w:tc>
          <w:tcPr>
            <w:tcW w:w="1800" w:type="dxa"/>
          </w:tcPr>
          <w:p w:rsidR="009277F7" w:rsidRPr="00441984" w:rsidRDefault="009277F7" w:rsidP="004461CE">
            <w:pPr>
              <w:jc w:val="center"/>
              <w:rPr>
                <w:rFonts w:ascii="Times New Roman" w:hAnsi="Times New Roman"/>
                <w:sz w:val="20"/>
                <w:szCs w:val="20"/>
              </w:rPr>
            </w:pPr>
            <w:r>
              <w:rPr>
                <w:rFonts w:ascii="Times New Roman" w:hAnsi="Times New Roman"/>
                <w:sz w:val="20"/>
                <w:szCs w:val="20"/>
              </w:rPr>
              <w:t>Информация об ис</w:t>
            </w:r>
            <w:r w:rsidRPr="00441984">
              <w:rPr>
                <w:rFonts w:ascii="Times New Roman" w:hAnsi="Times New Roman"/>
                <w:sz w:val="20"/>
                <w:szCs w:val="20"/>
              </w:rPr>
              <w:t>пол</w:t>
            </w:r>
            <w:r>
              <w:rPr>
                <w:rFonts w:ascii="Times New Roman" w:hAnsi="Times New Roman"/>
                <w:sz w:val="20"/>
                <w:szCs w:val="20"/>
              </w:rPr>
              <w:t>ьзовании нестационарного  торго</w:t>
            </w:r>
            <w:r w:rsidRPr="00441984">
              <w:rPr>
                <w:rFonts w:ascii="Times New Roman" w:hAnsi="Times New Roman"/>
                <w:sz w:val="20"/>
                <w:szCs w:val="20"/>
              </w:rPr>
              <w:t>вого объекта субъектами малого или среднего предпринимательства</w:t>
            </w:r>
          </w:p>
        </w:tc>
        <w:tc>
          <w:tcPr>
            <w:tcW w:w="2058" w:type="dxa"/>
          </w:tcPr>
          <w:p w:rsidR="009277F7" w:rsidRPr="00441984" w:rsidRDefault="009277F7" w:rsidP="004461CE">
            <w:pPr>
              <w:jc w:val="center"/>
              <w:rPr>
                <w:rFonts w:ascii="Times New Roman" w:hAnsi="Times New Roman"/>
                <w:sz w:val="20"/>
                <w:szCs w:val="20"/>
              </w:rPr>
            </w:pPr>
            <w:r w:rsidRPr="00441984">
              <w:rPr>
                <w:rFonts w:ascii="Times New Roman" w:hAnsi="Times New Roman"/>
                <w:sz w:val="20"/>
                <w:szCs w:val="20"/>
              </w:rPr>
              <w:t>Период размещения нестационарных торговых объектов</w:t>
            </w:r>
          </w:p>
        </w:tc>
      </w:tr>
      <w:tr w:rsidR="009277F7" w:rsidRPr="00441984" w:rsidTr="00441984">
        <w:tc>
          <w:tcPr>
            <w:tcW w:w="288"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1</w:t>
            </w:r>
          </w:p>
        </w:tc>
        <w:tc>
          <w:tcPr>
            <w:tcW w:w="162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w:t>
            </w:r>
          </w:p>
        </w:tc>
        <w:tc>
          <w:tcPr>
            <w:tcW w:w="216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3</w:t>
            </w:r>
          </w:p>
        </w:tc>
        <w:tc>
          <w:tcPr>
            <w:tcW w:w="144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4</w:t>
            </w:r>
          </w:p>
        </w:tc>
        <w:tc>
          <w:tcPr>
            <w:tcW w:w="1056"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5</w:t>
            </w:r>
          </w:p>
        </w:tc>
        <w:tc>
          <w:tcPr>
            <w:tcW w:w="216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6</w:t>
            </w:r>
          </w:p>
        </w:tc>
        <w:tc>
          <w:tcPr>
            <w:tcW w:w="270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7</w:t>
            </w:r>
          </w:p>
        </w:tc>
        <w:tc>
          <w:tcPr>
            <w:tcW w:w="1800"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8</w:t>
            </w:r>
          </w:p>
        </w:tc>
        <w:tc>
          <w:tcPr>
            <w:tcW w:w="2058"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9</w:t>
            </w:r>
          </w:p>
        </w:tc>
      </w:tr>
      <w:tr w:rsidR="009277F7" w:rsidRPr="00441984" w:rsidTr="00441984">
        <w:tc>
          <w:tcPr>
            <w:tcW w:w="288"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1</w:t>
            </w:r>
          </w:p>
        </w:tc>
        <w:tc>
          <w:tcPr>
            <w:tcW w:w="1620" w:type="dxa"/>
            <w:vMerge w:val="restart"/>
          </w:tcPr>
          <w:p w:rsidR="009277F7" w:rsidRPr="00441984" w:rsidRDefault="009277F7" w:rsidP="00BA2803">
            <w:pPr>
              <w:rPr>
                <w:rFonts w:ascii="Times New Roman" w:hAnsi="Times New Roman"/>
                <w:sz w:val="20"/>
                <w:szCs w:val="20"/>
              </w:rPr>
            </w:pPr>
            <w:r w:rsidRPr="00441984">
              <w:rPr>
                <w:rFonts w:ascii="Times New Roman" w:hAnsi="Times New Roman"/>
                <w:sz w:val="20"/>
                <w:szCs w:val="20"/>
              </w:rPr>
              <w:t>Автомагазин (автолавка)</w:t>
            </w:r>
          </w:p>
          <w:p w:rsidR="009277F7" w:rsidRPr="00441984" w:rsidRDefault="009277F7" w:rsidP="00BA2803">
            <w:pPr>
              <w:rPr>
                <w:rFonts w:ascii="Times New Roman" w:hAnsi="Times New Roman"/>
                <w:sz w:val="20"/>
                <w:szCs w:val="20"/>
              </w:rPr>
            </w:pPr>
            <w:r w:rsidRPr="00441984">
              <w:rPr>
                <w:rFonts w:ascii="Times New Roman" w:hAnsi="Times New Roman"/>
                <w:sz w:val="20"/>
                <w:szCs w:val="20"/>
              </w:rPr>
              <w:t>Лоток</w:t>
            </w:r>
          </w:p>
          <w:p w:rsidR="009277F7" w:rsidRPr="00441984" w:rsidRDefault="009277F7" w:rsidP="00BA2803">
            <w:pPr>
              <w:rPr>
                <w:rFonts w:ascii="Times New Roman" w:hAnsi="Times New Roman"/>
                <w:sz w:val="20"/>
                <w:szCs w:val="20"/>
              </w:rPr>
            </w:pPr>
            <w:r w:rsidRPr="00441984">
              <w:rPr>
                <w:rFonts w:ascii="Times New Roman" w:hAnsi="Times New Roman"/>
                <w:sz w:val="20"/>
                <w:szCs w:val="20"/>
              </w:rPr>
              <w:t>Палатка</w:t>
            </w:r>
          </w:p>
        </w:tc>
        <w:tc>
          <w:tcPr>
            <w:tcW w:w="216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Енисейский район,                    с. Верхнепашино, ул.Геофизиков, 10</w:t>
            </w:r>
          </w:p>
        </w:tc>
        <w:tc>
          <w:tcPr>
            <w:tcW w:w="144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w:t>
            </w:r>
          </w:p>
        </w:tc>
        <w:tc>
          <w:tcPr>
            <w:tcW w:w="1056"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25</w:t>
            </w:r>
          </w:p>
        </w:tc>
        <w:tc>
          <w:tcPr>
            <w:tcW w:w="216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50</w:t>
            </w:r>
          </w:p>
        </w:tc>
        <w:tc>
          <w:tcPr>
            <w:tcW w:w="2700" w:type="dxa"/>
            <w:vMerge w:val="restart"/>
          </w:tcPr>
          <w:p w:rsidR="009277F7" w:rsidRPr="00441984" w:rsidRDefault="009277F7" w:rsidP="00BA2803">
            <w:pPr>
              <w:rPr>
                <w:rFonts w:ascii="Times New Roman" w:hAnsi="Times New Roman"/>
                <w:sz w:val="20"/>
                <w:szCs w:val="20"/>
              </w:rPr>
            </w:pPr>
            <w:r w:rsidRPr="00441984">
              <w:rPr>
                <w:rFonts w:ascii="Times New Roman" w:hAnsi="Times New Roman"/>
                <w:sz w:val="20"/>
                <w:szCs w:val="20"/>
              </w:rPr>
              <w:t>Общественное питание, мелкороз-</w:t>
            </w:r>
          </w:p>
          <w:p w:rsidR="009277F7" w:rsidRPr="00441984" w:rsidRDefault="009277F7" w:rsidP="00BA2803">
            <w:pPr>
              <w:rPr>
                <w:rFonts w:ascii="Times New Roman" w:hAnsi="Times New Roman"/>
                <w:sz w:val="20"/>
                <w:szCs w:val="20"/>
              </w:rPr>
            </w:pPr>
            <w:r w:rsidRPr="00441984">
              <w:rPr>
                <w:rFonts w:ascii="Times New Roman" w:hAnsi="Times New Roman"/>
                <w:sz w:val="20"/>
                <w:szCs w:val="20"/>
              </w:rPr>
              <w:t>ничная торговля продуктами питания и пром. товарами</w:t>
            </w:r>
          </w:p>
        </w:tc>
        <w:tc>
          <w:tcPr>
            <w:tcW w:w="1800" w:type="dxa"/>
          </w:tcPr>
          <w:p w:rsidR="009277F7" w:rsidRPr="00441984" w:rsidRDefault="009277F7" w:rsidP="00BA2803">
            <w:pPr>
              <w:jc w:val="center"/>
              <w:rPr>
                <w:rFonts w:ascii="Times New Roman" w:hAnsi="Times New Roman"/>
                <w:sz w:val="20"/>
                <w:szCs w:val="20"/>
              </w:rPr>
            </w:pPr>
          </w:p>
        </w:tc>
        <w:tc>
          <w:tcPr>
            <w:tcW w:w="2058"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С 01 апреля по 1 ноября</w:t>
            </w:r>
          </w:p>
        </w:tc>
      </w:tr>
      <w:tr w:rsidR="009277F7" w:rsidRPr="00441984" w:rsidTr="00441984">
        <w:tc>
          <w:tcPr>
            <w:tcW w:w="288" w:type="dxa"/>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w:t>
            </w:r>
          </w:p>
        </w:tc>
        <w:tc>
          <w:tcPr>
            <w:tcW w:w="1620" w:type="dxa"/>
            <w:vMerge/>
          </w:tcPr>
          <w:p w:rsidR="009277F7" w:rsidRPr="00441984" w:rsidRDefault="009277F7" w:rsidP="00BA2803">
            <w:pPr>
              <w:jc w:val="center"/>
              <w:rPr>
                <w:rFonts w:ascii="Times New Roman" w:hAnsi="Times New Roman"/>
                <w:sz w:val="20"/>
                <w:szCs w:val="20"/>
              </w:rPr>
            </w:pPr>
          </w:p>
        </w:tc>
        <w:tc>
          <w:tcPr>
            <w:tcW w:w="216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Енисейский район,                    с. Верхнепашино, ул. Советская, 38</w:t>
            </w:r>
          </w:p>
        </w:tc>
        <w:tc>
          <w:tcPr>
            <w:tcW w:w="144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w:t>
            </w:r>
          </w:p>
        </w:tc>
        <w:tc>
          <w:tcPr>
            <w:tcW w:w="1056"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25</w:t>
            </w:r>
          </w:p>
        </w:tc>
        <w:tc>
          <w:tcPr>
            <w:tcW w:w="2160"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50</w:t>
            </w:r>
          </w:p>
        </w:tc>
        <w:tc>
          <w:tcPr>
            <w:tcW w:w="2700" w:type="dxa"/>
            <w:vMerge/>
          </w:tcPr>
          <w:p w:rsidR="009277F7" w:rsidRPr="00441984" w:rsidRDefault="009277F7" w:rsidP="00BA2803">
            <w:pPr>
              <w:jc w:val="center"/>
              <w:rPr>
                <w:rFonts w:ascii="Times New Roman" w:hAnsi="Times New Roman"/>
                <w:sz w:val="20"/>
                <w:szCs w:val="20"/>
              </w:rPr>
            </w:pPr>
          </w:p>
        </w:tc>
        <w:tc>
          <w:tcPr>
            <w:tcW w:w="1800" w:type="dxa"/>
          </w:tcPr>
          <w:p w:rsidR="009277F7" w:rsidRPr="00441984" w:rsidRDefault="009277F7" w:rsidP="00BA2803">
            <w:pPr>
              <w:jc w:val="center"/>
              <w:rPr>
                <w:rFonts w:ascii="Times New Roman" w:hAnsi="Times New Roman"/>
                <w:sz w:val="20"/>
                <w:szCs w:val="20"/>
              </w:rPr>
            </w:pPr>
          </w:p>
        </w:tc>
        <w:tc>
          <w:tcPr>
            <w:tcW w:w="2058" w:type="dxa"/>
            <w:vAlign w:val="center"/>
          </w:tcPr>
          <w:p w:rsidR="009277F7" w:rsidRPr="00441984" w:rsidRDefault="009277F7" w:rsidP="00BA2803">
            <w:pPr>
              <w:jc w:val="center"/>
              <w:rPr>
                <w:rFonts w:ascii="Times New Roman" w:hAnsi="Times New Roman"/>
                <w:sz w:val="20"/>
                <w:szCs w:val="20"/>
              </w:rPr>
            </w:pPr>
            <w:r w:rsidRPr="00441984">
              <w:rPr>
                <w:rFonts w:ascii="Times New Roman" w:hAnsi="Times New Roman"/>
                <w:sz w:val="20"/>
                <w:szCs w:val="20"/>
              </w:rPr>
              <w:t>С 01 апреля по 1 ноября</w:t>
            </w:r>
          </w:p>
        </w:tc>
      </w:tr>
    </w:tbl>
    <w:p w:rsidR="009277F7" w:rsidRPr="00441984" w:rsidRDefault="009277F7" w:rsidP="00EA1455">
      <w:pPr>
        <w:tabs>
          <w:tab w:val="left" w:pos="5580"/>
        </w:tabs>
        <w:autoSpaceDE w:val="0"/>
        <w:autoSpaceDN w:val="0"/>
        <w:adjustRightInd w:val="0"/>
        <w:spacing w:after="0" w:line="240" w:lineRule="auto"/>
        <w:ind w:right="4086"/>
        <w:jc w:val="both"/>
        <w:outlineLvl w:val="3"/>
        <w:rPr>
          <w:rFonts w:ascii="Times New Roman" w:hAnsi="Times New Roman"/>
          <w:sz w:val="20"/>
          <w:szCs w:val="20"/>
        </w:rPr>
      </w:pPr>
    </w:p>
    <w:sectPr w:rsidR="009277F7" w:rsidRPr="00441984" w:rsidSect="00441984">
      <w:pgSz w:w="16838" w:h="11906" w:orient="landscape"/>
      <w:pgMar w:top="1134" w:right="11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F7" w:rsidRDefault="009277F7" w:rsidP="00B4410D">
      <w:pPr>
        <w:spacing w:after="0" w:line="240" w:lineRule="auto"/>
      </w:pPr>
      <w:r>
        <w:separator/>
      </w:r>
    </w:p>
  </w:endnote>
  <w:endnote w:type="continuationSeparator" w:id="1">
    <w:p w:rsidR="009277F7" w:rsidRDefault="009277F7" w:rsidP="00B44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F7" w:rsidRDefault="009277F7" w:rsidP="00B4410D">
      <w:pPr>
        <w:spacing w:after="0" w:line="240" w:lineRule="auto"/>
      </w:pPr>
      <w:r>
        <w:separator/>
      </w:r>
    </w:p>
  </w:footnote>
  <w:footnote w:type="continuationSeparator" w:id="1">
    <w:p w:rsidR="009277F7" w:rsidRDefault="009277F7" w:rsidP="00B441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803"/>
    <w:rsid w:val="00004306"/>
    <w:rsid w:val="000453EA"/>
    <w:rsid w:val="00047985"/>
    <w:rsid w:val="000602A4"/>
    <w:rsid w:val="000A799E"/>
    <w:rsid w:val="000B100C"/>
    <w:rsid w:val="000B410C"/>
    <w:rsid w:val="00115BC5"/>
    <w:rsid w:val="001200DF"/>
    <w:rsid w:val="00133271"/>
    <w:rsid w:val="001516A2"/>
    <w:rsid w:val="001726A8"/>
    <w:rsid w:val="00174473"/>
    <w:rsid w:val="00183360"/>
    <w:rsid w:val="001877D7"/>
    <w:rsid w:val="001D1292"/>
    <w:rsid w:val="001F1797"/>
    <w:rsid w:val="00206790"/>
    <w:rsid w:val="00215674"/>
    <w:rsid w:val="00273B19"/>
    <w:rsid w:val="002846C1"/>
    <w:rsid w:val="00284E90"/>
    <w:rsid w:val="002A114B"/>
    <w:rsid w:val="002A61B2"/>
    <w:rsid w:val="002C5F07"/>
    <w:rsid w:val="003426E0"/>
    <w:rsid w:val="00345D9E"/>
    <w:rsid w:val="00372DDC"/>
    <w:rsid w:val="003B7C24"/>
    <w:rsid w:val="003C0433"/>
    <w:rsid w:val="003C1F83"/>
    <w:rsid w:val="003F1264"/>
    <w:rsid w:val="003F2CEF"/>
    <w:rsid w:val="003F3E77"/>
    <w:rsid w:val="003F60EB"/>
    <w:rsid w:val="00411C4A"/>
    <w:rsid w:val="00413085"/>
    <w:rsid w:val="00441984"/>
    <w:rsid w:val="004461CE"/>
    <w:rsid w:val="004F3E2F"/>
    <w:rsid w:val="00505FF5"/>
    <w:rsid w:val="00542A97"/>
    <w:rsid w:val="005742EB"/>
    <w:rsid w:val="00580B97"/>
    <w:rsid w:val="0058480C"/>
    <w:rsid w:val="005A1021"/>
    <w:rsid w:val="005A78D5"/>
    <w:rsid w:val="005B077E"/>
    <w:rsid w:val="005D2218"/>
    <w:rsid w:val="005F72F1"/>
    <w:rsid w:val="00614711"/>
    <w:rsid w:val="006945D3"/>
    <w:rsid w:val="006B214A"/>
    <w:rsid w:val="006C7BF7"/>
    <w:rsid w:val="0073101D"/>
    <w:rsid w:val="007653B4"/>
    <w:rsid w:val="00767E0E"/>
    <w:rsid w:val="00773959"/>
    <w:rsid w:val="007743F0"/>
    <w:rsid w:val="00784962"/>
    <w:rsid w:val="00785E70"/>
    <w:rsid w:val="007910CB"/>
    <w:rsid w:val="007C2844"/>
    <w:rsid w:val="007D3B3A"/>
    <w:rsid w:val="00802FB0"/>
    <w:rsid w:val="008168A0"/>
    <w:rsid w:val="008A7368"/>
    <w:rsid w:val="008A7C47"/>
    <w:rsid w:val="008D4803"/>
    <w:rsid w:val="0090691A"/>
    <w:rsid w:val="0092432D"/>
    <w:rsid w:val="009277F7"/>
    <w:rsid w:val="00942350"/>
    <w:rsid w:val="009444D8"/>
    <w:rsid w:val="00961870"/>
    <w:rsid w:val="00970A75"/>
    <w:rsid w:val="009A2BA9"/>
    <w:rsid w:val="009A4C1C"/>
    <w:rsid w:val="009A7F40"/>
    <w:rsid w:val="009B7180"/>
    <w:rsid w:val="009C1BBA"/>
    <w:rsid w:val="009C39DD"/>
    <w:rsid w:val="009D3A29"/>
    <w:rsid w:val="009E1719"/>
    <w:rsid w:val="009E5274"/>
    <w:rsid w:val="009F408E"/>
    <w:rsid w:val="00A21277"/>
    <w:rsid w:val="00A22794"/>
    <w:rsid w:val="00A6323C"/>
    <w:rsid w:val="00A677A5"/>
    <w:rsid w:val="00A74B0A"/>
    <w:rsid w:val="00A77D55"/>
    <w:rsid w:val="00AB1EFC"/>
    <w:rsid w:val="00AC2934"/>
    <w:rsid w:val="00AD0D1F"/>
    <w:rsid w:val="00AD7790"/>
    <w:rsid w:val="00AE6419"/>
    <w:rsid w:val="00B4410D"/>
    <w:rsid w:val="00B85B0F"/>
    <w:rsid w:val="00BA2803"/>
    <w:rsid w:val="00C04BE6"/>
    <w:rsid w:val="00C51A0B"/>
    <w:rsid w:val="00CA2EDD"/>
    <w:rsid w:val="00CC4285"/>
    <w:rsid w:val="00CC5CCD"/>
    <w:rsid w:val="00CD2084"/>
    <w:rsid w:val="00D012D6"/>
    <w:rsid w:val="00D43F9C"/>
    <w:rsid w:val="00D5301F"/>
    <w:rsid w:val="00D67404"/>
    <w:rsid w:val="00DD770C"/>
    <w:rsid w:val="00DF1311"/>
    <w:rsid w:val="00E1368E"/>
    <w:rsid w:val="00E13E36"/>
    <w:rsid w:val="00E160B1"/>
    <w:rsid w:val="00E225AC"/>
    <w:rsid w:val="00E2422B"/>
    <w:rsid w:val="00E41711"/>
    <w:rsid w:val="00EA1455"/>
    <w:rsid w:val="00F10F83"/>
    <w:rsid w:val="00F415EA"/>
    <w:rsid w:val="00F45038"/>
    <w:rsid w:val="00F57A6F"/>
    <w:rsid w:val="00F90E3F"/>
    <w:rsid w:val="00FB4FE5"/>
    <w:rsid w:val="00FC4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91A"/>
    <w:rPr>
      <w:rFonts w:ascii="Tahoma" w:hAnsi="Tahoma" w:cs="Tahoma"/>
      <w:sz w:val="16"/>
      <w:szCs w:val="16"/>
      <w:lang w:eastAsia="en-US"/>
    </w:rPr>
  </w:style>
  <w:style w:type="paragraph" w:styleId="Footer">
    <w:name w:val="footer"/>
    <w:basedOn w:val="Normal"/>
    <w:link w:val="FooterChar"/>
    <w:uiPriority w:val="99"/>
    <w:rsid w:val="00B4410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B4410D"/>
    <w:rPr>
      <w:rFonts w:ascii="Times New Roman" w:hAnsi="Times New Roman" w:cs="Times New Roman"/>
      <w:sz w:val="20"/>
      <w:szCs w:val="20"/>
    </w:rPr>
  </w:style>
  <w:style w:type="paragraph" w:styleId="FootnoteText">
    <w:name w:val="footnote text"/>
    <w:basedOn w:val="Normal"/>
    <w:link w:val="FootnoteTextChar"/>
    <w:uiPriority w:val="99"/>
    <w:rsid w:val="00B4410D"/>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B4410D"/>
    <w:rPr>
      <w:rFonts w:ascii="Times New Roman" w:hAnsi="Times New Roman" w:cs="Times New Roman"/>
      <w:sz w:val="20"/>
      <w:szCs w:val="20"/>
    </w:rPr>
  </w:style>
  <w:style w:type="character" w:styleId="FootnoteReference">
    <w:name w:val="footnote reference"/>
    <w:basedOn w:val="DefaultParagraphFont"/>
    <w:uiPriority w:val="99"/>
    <w:rsid w:val="00B4410D"/>
    <w:rPr>
      <w:rFonts w:cs="Times New Roman"/>
      <w:vertAlign w:val="superscript"/>
    </w:rPr>
  </w:style>
  <w:style w:type="paragraph" w:styleId="Header">
    <w:name w:val="header"/>
    <w:basedOn w:val="Normal"/>
    <w:link w:val="HeaderChar"/>
    <w:uiPriority w:val="99"/>
    <w:rsid w:val="0073101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3101D"/>
    <w:rPr>
      <w:rFonts w:cs="Times New Roman"/>
      <w:lang w:eastAsia="en-US"/>
    </w:rPr>
  </w:style>
  <w:style w:type="character" w:styleId="Hyperlink">
    <w:name w:val="Hyperlink"/>
    <w:basedOn w:val="DefaultParagraphFont"/>
    <w:uiPriority w:val="99"/>
    <w:rsid w:val="002067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70313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8B7DAD0A4264D8FB89A6F4E6A4CD326FC00E135D54CBE9D28E264FDB44BD150CE9E8E69CFF68B923CE65E76w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Pages>
  <Words>548</Words>
  <Characters>3127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ПОЛОЖЕНИИ О ТЕРРИТОРИАЛЬНОМ ОБЩЕСТВЕННОМ</dc:title>
  <dc:subject/>
  <dc:creator>Elistratova</dc:creator>
  <cp:keywords/>
  <dc:description/>
  <cp:lastModifiedBy>STOSCOMP</cp:lastModifiedBy>
  <cp:revision>14</cp:revision>
  <cp:lastPrinted>2013-06-13T05:32:00Z</cp:lastPrinted>
  <dcterms:created xsi:type="dcterms:W3CDTF">2013-05-29T05:08:00Z</dcterms:created>
  <dcterms:modified xsi:type="dcterms:W3CDTF">2013-07-03T05:34:00Z</dcterms:modified>
</cp:coreProperties>
</file>